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85B6" w14:textId="77777777" w:rsidR="0038762C" w:rsidRPr="0038762C" w:rsidRDefault="0038762C" w:rsidP="0038762C">
      <w:pPr>
        <w:jc w:val="center"/>
        <w:rPr>
          <w:b/>
          <w:bCs/>
          <w:u w:val="single"/>
        </w:rPr>
      </w:pPr>
      <w:r w:rsidRPr="0038762C">
        <w:rPr>
          <w:b/>
          <w:bCs/>
          <w:u w:val="single"/>
        </w:rPr>
        <w:t>Carbon Reduction Plan</w:t>
      </w:r>
    </w:p>
    <w:p w14:paraId="67B0E18A" w14:textId="73379F9E" w:rsidR="0038762C" w:rsidRPr="0038762C" w:rsidRDefault="0038762C" w:rsidP="0038762C">
      <w:r w:rsidRPr="0038762C">
        <w:rPr>
          <w:b/>
          <w:bCs/>
        </w:rPr>
        <w:t>Organisation Name:</w:t>
      </w:r>
      <w:r w:rsidRPr="0038762C">
        <w:t xml:space="preserve"> Home Not Hospital</w:t>
      </w:r>
      <w:r w:rsidRPr="0038762C">
        <w:br/>
      </w:r>
      <w:r w:rsidRPr="0038762C">
        <w:rPr>
          <w:b/>
          <w:bCs/>
        </w:rPr>
        <w:t>Publication Date:</w:t>
      </w:r>
      <w:r w:rsidRPr="0038762C">
        <w:t xml:space="preserve"> October 2025</w:t>
      </w:r>
    </w:p>
    <w:p w14:paraId="07C968CB" w14:textId="77777777" w:rsidR="0038762C" w:rsidRPr="0038762C" w:rsidRDefault="0038762C" w:rsidP="0038762C">
      <w:pPr>
        <w:rPr>
          <w:b/>
          <w:bCs/>
        </w:rPr>
      </w:pPr>
      <w:r w:rsidRPr="0038762C">
        <w:rPr>
          <w:b/>
          <w:bCs/>
        </w:rPr>
        <w:t>Commitment to Achieving Net Zero</w:t>
      </w:r>
    </w:p>
    <w:p w14:paraId="4508411D" w14:textId="37F36896" w:rsidR="0038762C" w:rsidRPr="0038762C" w:rsidRDefault="0038762C" w:rsidP="0038762C">
      <w:r w:rsidRPr="0038762C">
        <w:t xml:space="preserve">Home Not Hospital is committed to </w:t>
      </w:r>
      <w:r w:rsidRPr="002C14ED">
        <w:t>achieving Net Zero greenhouse gas emissions by 2050 in line with UK Government targets and the Paris Agreement.</w:t>
      </w:r>
    </w:p>
    <w:p w14:paraId="68B6DD62" w14:textId="77777777" w:rsidR="0038762C" w:rsidRPr="0038762C" w:rsidRDefault="0038762C" w:rsidP="0038762C">
      <w:pPr>
        <w:rPr>
          <w:b/>
          <w:bCs/>
        </w:rPr>
      </w:pPr>
      <w:r w:rsidRPr="0038762C">
        <w:rPr>
          <w:b/>
          <w:bCs/>
        </w:rPr>
        <w:t>Baseline Emissions Footprint</w:t>
      </w:r>
    </w:p>
    <w:p w14:paraId="4A57EF5D" w14:textId="77777777" w:rsidR="0038762C" w:rsidRPr="0038762C" w:rsidRDefault="0038762C" w:rsidP="0038762C">
      <w:r w:rsidRPr="0038762C">
        <w:rPr>
          <w:b/>
          <w:bCs/>
        </w:rPr>
        <w:t>Baseline Year:</w:t>
      </w:r>
      <w:r w:rsidRPr="0038762C">
        <w:t xml:space="preserve"> 2023</w:t>
      </w:r>
    </w:p>
    <w:p w14:paraId="2A8698CE" w14:textId="6BB12BE2" w:rsidR="0038762C" w:rsidRPr="002C14ED" w:rsidRDefault="0038762C" w:rsidP="0038762C">
      <w:r w:rsidRPr="002C14ED">
        <w:t>Home Not Hospital was founded in 2021 and provides community-based care services. Locally recruited staff work within one service, with the majority of senior staff working remotely, with travel required where care recipients are unable to access public transport.</w:t>
      </w:r>
    </w:p>
    <w:p w14:paraId="08A0DE65" w14:textId="77777777" w:rsidR="0038762C" w:rsidRPr="002C14ED" w:rsidRDefault="0038762C" w:rsidP="0038762C">
      <w:r w:rsidRPr="002C14ED">
        <w:t>Baseline emissions are calculated across Scopes 1, 2, and 3, following the GHG Protocol Corporate Standard and BEIS (now DESNZ) emissions factors.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2047"/>
        <w:gridCol w:w="2551"/>
        <w:gridCol w:w="1367"/>
        <w:gridCol w:w="1738"/>
      </w:tblGrid>
      <w:tr w:rsidR="0038762C" w:rsidRPr="0038762C" w14:paraId="5D30F3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808E14" w14:textId="77777777" w:rsidR="0038762C" w:rsidRPr="0038762C" w:rsidRDefault="0038762C" w:rsidP="0038762C">
            <w:pPr>
              <w:rPr>
                <w:b/>
                <w:bCs/>
              </w:rPr>
            </w:pPr>
            <w:r w:rsidRPr="0038762C">
              <w:rPr>
                <w:b/>
                <w:bCs/>
              </w:rPr>
              <w:t>Scope</w:t>
            </w:r>
          </w:p>
        </w:tc>
        <w:tc>
          <w:tcPr>
            <w:tcW w:w="0" w:type="auto"/>
            <w:vAlign w:val="center"/>
            <w:hideMark/>
          </w:tcPr>
          <w:p w14:paraId="44D75062" w14:textId="77777777" w:rsidR="0038762C" w:rsidRPr="0038762C" w:rsidRDefault="0038762C" w:rsidP="0038762C">
            <w:pPr>
              <w:rPr>
                <w:b/>
                <w:bCs/>
              </w:rPr>
            </w:pPr>
            <w:r w:rsidRPr="0038762C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333A582" w14:textId="77777777" w:rsidR="0038762C" w:rsidRPr="0038762C" w:rsidRDefault="0038762C" w:rsidP="0038762C">
            <w:pPr>
              <w:rPr>
                <w:b/>
                <w:bCs/>
              </w:rPr>
            </w:pPr>
            <w:r w:rsidRPr="0038762C">
              <w:rPr>
                <w:b/>
                <w:bCs/>
              </w:rPr>
              <w:t>Included Sources</w:t>
            </w:r>
          </w:p>
        </w:tc>
        <w:tc>
          <w:tcPr>
            <w:tcW w:w="0" w:type="auto"/>
            <w:vAlign w:val="center"/>
            <w:hideMark/>
          </w:tcPr>
          <w:p w14:paraId="3F6120E7" w14:textId="77777777" w:rsidR="0038762C" w:rsidRPr="0038762C" w:rsidRDefault="0038762C" w:rsidP="0038762C">
            <w:pPr>
              <w:rPr>
                <w:b/>
                <w:bCs/>
              </w:rPr>
            </w:pPr>
            <w:r w:rsidRPr="0038762C">
              <w:rPr>
                <w:b/>
                <w:bCs/>
              </w:rPr>
              <w:t>Baseline Emissions (tCO₂e)</w:t>
            </w:r>
          </w:p>
        </w:tc>
        <w:tc>
          <w:tcPr>
            <w:tcW w:w="0" w:type="auto"/>
            <w:vAlign w:val="center"/>
            <w:hideMark/>
          </w:tcPr>
          <w:p w14:paraId="0C380BFF" w14:textId="77777777" w:rsidR="0038762C" w:rsidRPr="0038762C" w:rsidRDefault="0038762C" w:rsidP="0038762C">
            <w:pPr>
              <w:rPr>
                <w:b/>
                <w:bCs/>
              </w:rPr>
            </w:pPr>
            <w:r w:rsidRPr="0038762C">
              <w:rPr>
                <w:b/>
                <w:bCs/>
              </w:rPr>
              <w:t>Notes</w:t>
            </w:r>
          </w:p>
        </w:tc>
      </w:tr>
      <w:tr w:rsidR="0038762C" w:rsidRPr="0038762C" w14:paraId="1441F1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87D5C" w14:textId="77777777" w:rsidR="0038762C" w:rsidRPr="0038762C" w:rsidRDefault="0038762C" w:rsidP="0038762C">
            <w:r w:rsidRPr="0038762C">
              <w:rPr>
                <w:b/>
                <w:bCs/>
              </w:rPr>
              <w:t>Scope 1</w:t>
            </w:r>
          </w:p>
        </w:tc>
        <w:tc>
          <w:tcPr>
            <w:tcW w:w="0" w:type="auto"/>
            <w:vAlign w:val="center"/>
            <w:hideMark/>
          </w:tcPr>
          <w:p w14:paraId="0CEE128F" w14:textId="77777777" w:rsidR="0038762C" w:rsidRPr="0038762C" w:rsidRDefault="0038762C" w:rsidP="0038762C">
            <w:r w:rsidRPr="0038762C">
              <w:t>Direct emissions from owned or controlled sources</w:t>
            </w:r>
          </w:p>
        </w:tc>
        <w:tc>
          <w:tcPr>
            <w:tcW w:w="0" w:type="auto"/>
            <w:vAlign w:val="center"/>
            <w:hideMark/>
          </w:tcPr>
          <w:p w14:paraId="244AAD26" w14:textId="77777777" w:rsidR="0038762C" w:rsidRPr="0038762C" w:rsidRDefault="0038762C" w:rsidP="0038762C">
            <w:r w:rsidRPr="0038762C">
              <w:t>Car travel by care staff (petrol/diesel vehicles)</w:t>
            </w:r>
          </w:p>
        </w:tc>
        <w:tc>
          <w:tcPr>
            <w:tcW w:w="0" w:type="auto"/>
            <w:vAlign w:val="center"/>
            <w:hideMark/>
          </w:tcPr>
          <w:p w14:paraId="5FE1634B" w14:textId="77777777" w:rsidR="0038762C" w:rsidRPr="0038762C" w:rsidRDefault="0038762C" w:rsidP="0038762C">
            <w:r w:rsidRPr="0038762C">
              <w:rPr>
                <w:b/>
                <w:bCs/>
              </w:rPr>
              <w:t>8.5 tCO₂e</w:t>
            </w:r>
          </w:p>
        </w:tc>
        <w:tc>
          <w:tcPr>
            <w:tcW w:w="0" w:type="auto"/>
            <w:vAlign w:val="center"/>
            <w:hideMark/>
          </w:tcPr>
          <w:p w14:paraId="64AB21F0" w14:textId="77777777" w:rsidR="0038762C" w:rsidRPr="0038762C" w:rsidRDefault="0038762C" w:rsidP="0038762C">
            <w:r w:rsidRPr="0038762C">
              <w:t>Based on estimated 25,000 miles/year</w:t>
            </w:r>
          </w:p>
        </w:tc>
      </w:tr>
      <w:tr w:rsidR="0038762C" w:rsidRPr="0038762C" w14:paraId="298B1F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6772C" w14:textId="77777777" w:rsidR="0038762C" w:rsidRPr="0038762C" w:rsidRDefault="0038762C" w:rsidP="0038762C">
            <w:r w:rsidRPr="0038762C">
              <w:rPr>
                <w:b/>
                <w:bCs/>
              </w:rPr>
              <w:t>Scope 2</w:t>
            </w:r>
          </w:p>
        </w:tc>
        <w:tc>
          <w:tcPr>
            <w:tcW w:w="0" w:type="auto"/>
            <w:vAlign w:val="center"/>
            <w:hideMark/>
          </w:tcPr>
          <w:p w14:paraId="7EA6B7C2" w14:textId="77777777" w:rsidR="0038762C" w:rsidRPr="0038762C" w:rsidRDefault="0038762C" w:rsidP="0038762C">
            <w:r w:rsidRPr="0038762C">
              <w:t>Indirect emissions from purchased electricity</w:t>
            </w:r>
          </w:p>
        </w:tc>
        <w:tc>
          <w:tcPr>
            <w:tcW w:w="0" w:type="auto"/>
            <w:vAlign w:val="center"/>
            <w:hideMark/>
          </w:tcPr>
          <w:p w14:paraId="5CE49971" w14:textId="56952BDF" w:rsidR="0038762C" w:rsidRPr="0038762C" w:rsidRDefault="00CA730B" w:rsidP="0038762C">
            <w:r>
              <w:t>One</w:t>
            </w:r>
            <w:r w:rsidR="0038762C" w:rsidRPr="0038762C">
              <w:t xml:space="preserve"> shared office spaces</w:t>
            </w:r>
          </w:p>
        </w:tc>
        <w:tc>
          <w:tcPr>
            <w:tcW w:w="0" w:type="auto"/>
            <w:vAlign w:val="center"/>
            <w:hideMark/>
          </w:tcPr>
          <w:p w14:paraId="48DF6994" w14:textId="50CCD257" w:rsidR="0038762C" w:rsidRPr="0038762C" w:rsidRDefault="00CA730B" w:rsidP="0038762C">
            <w:r>
              <w:rPr>
                <w:b/>
                <w:bCs/>
              </w:rPr>
              <w:t>0</w:t>
            </w:r>
            <w:r w:rsidR="0038762C" w:rsidRPr="0038762C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  <w:r w:rsidR="0038762C" w:rsidRPr="0038762C">
              <w:rPr>
                <w:b/>
                <w:bCs/>
              </w:rPr>
              <w:t xml:space="preserve"> tCO₂e</w:t>
            </w:r>
          </w:p>
        </w:tc>
        <w:tc>
          <w:tcPr>
            <w:tcW w:w="0" w:type="auto"/>
            <w:vAlign w:val="center"/>
            <w:hideMark/>
          </w:tcPr>
          <w:p w14:paraId="3DE23153" w14:textId="77777777" w:rsidR="0038762C" w:rsidRPr="0038762C" w:rsidRDefault="0038762C" w:rsidP="0038762C">
            <w:r w:rsidRPr="0038762C">
              <w:t>Shared energy supply, limited usage</w:t>
            </w:r>
          </w:p>
        </w:tc>
      </w:tr>
      <w:tr w:rsidR="0038762C" w:rsidRPr="0038762C" w14:paraId="529D39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110AF" w14:textId="77777777" w:rsidR="0038762C" w:rsidRPr="0038762C" w:rsidRDefault="0038762C" w:rsidP="0038762C">
            <w:r w:rsidRPr="0038762C">
              <w:rPr>
                <w:b/>
                <w:bCs/>
              </w:rPr>
              <w:t>Scope 3</w:t>
            </w:r>
          </w:p>
        </w:tc>
        <w:tc>
          <w:tcPr>
            <w:tcW w:w="0" w:type="auto"/>
            <w:vAlign w:val="center"/>
            <w:hideMark/>
          </w:tcPr>
          <w:p w14:paraId="15F9EF68" w14:textId="77777777" w:rsidR="0038762C" w:rsidRPr="0038762C" w:rsidRDefault="0038762C" w:rsidP="0038762C">
            <w:r w:rsidRPr="0038762C">
              <w:t>Indirect emissions not included in Scope 2</w:t>
            </w:r>
          </w:p>
        </w:tc>
        <w:tc>
          <w:tcPr>
            <w:tcW w:w="0" w:type="auto"/>
            <w:vAlign w:val="center"/>
            <w:hideMark/>
          </w:tcPr>
          <w:p w14:paraId="3062167D" w14:textId="77777777" w:rsidR="0038762C" w:rsidRPr="0038762C" w:rsidRDefault="0038762C" w:rsidP="0038762C">
            <w:r w:rsidRPr="0038762C">
              <w:t>Employee commuting, IT equipment, waste disposal, cloud storage</w:t>
            </w:r>
          </w:p>
        </w:tc>
        <w:tc>
          <w:tcPr>
            <w:tcW w:w="0" w:type="auto"/>
            <w:vAlign w:val="center"/>
            <w:hideMark/>
          </w:tcPr>
          <w:p w14:paraId="3E058B9B" w14:textId="77777777" w:rsidR="0038762C" w:rsidRPr="0038762C" w:rsidRDefault="0038762C" w:rsidP="0038762C">
            <w:r w:rsidRPr="0038762C">
              <w:rPr>
                <w:b/>
                <w:bCs/>
              </w:rPr>
              <w:t>3.0 tCO₂e</w:t>
            </w:r>
          </w:p>
        </w:tc>
        <w:tc>
          <w:tcPr>
            <w:tcW w:w="0" w:type="auto"/>
            <w:vAlign w:val="center"/>
            <w:hideMark/>
          </w:tcPr>
          <w:p w14:paraId="75C99D1C" w14:textId="01D47C96" w:rsidR="0038762C" w:rsidRPr="0038762C" w:rsidRDefault="0038762C" w:rsidP="0038762C">
            <w:r w:rsidRPr="0038762C">
              <w:t xml:space="preserve">Majority of </w:t>
            </w:r>
            <w:r>
              <w:t xml:space="preserve">senior </w:t>
            </w:r>
            <w:r w:rsidRPr="0038762C">
              <w:t>staff remote or hybrid</w:t>
            </w:r>
          </w:p>
        </w:tc>
      </w:tr>
      <w:tr w:rsidR="0038762C" w:rsidRPr="0038762C" w14:paraId="2F05B3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B273D" w14:textId="77777777" w:rsidR="0038762C" w:rsidRPr="0038762C" w:rsidRDefault="0038762C" w:rsidP="0038762C">
            <w:r w:rsidRPr="0038762C">
              <w:rPr>
                <w:b/>
                <w:bCs/>
              </w:rPr>
              <w:t>Total Baseline Emissions</w:t>
            </w:r>
          </w:p>
        </w:tc>
        <w:tc>
          <w:tcPr>
            <w:tcW w:w="0" w:type="auto"/>
            <w:vAlign w:val="center"/>
            <w:hideMark/>
          </w:tcPr>
          <w:p w14:paraId="650D562E" w14:textId="77777777" w:rsidR="0038762C" w:rsidRPr="0038762C" w:rsidRDefault="0038762C" w:rsidP="0038762C"/>
        </w:tc>
        <w:tc>
          <w:tcPr>
            <w:tcW w:w="0" w:type="auto"/>
            <w:vAlign w:val="center"/>
            <w:hideMark/>
          </w:tcPr>
          <w:p w14:paraId="4BB008D6" w14:textId="77777777" w:rsidR="0038762C" w:rsidRPr="0038762C" w:rsidRDefault="0038762C" w:rsidP="0038762C"/>
        </w:tc>
        <w:tc>
          <w:tcPr>
            <w:tcW w:w="0" w:type="auto"/>
            <w:vAlign w:val="center"/>
            <w:hideMark/>
          </w:tcPr>
          <w:p w14:paraId="3B4FE9B0" w14:textId="23339D58" w:rsidR="0038762C" w:rsidRPr="0038762C" w:rsidRDefault="0038762C" w:rsidP="0038762C">
            <w:r w:rsidRPr="0038762C">
              <w:rPr>
                <w:b/>
                <w:bCs/>
              </w:rPr>
              <w:t>12.</w:t>
            </w:r>
            <w:r w:rsidR="0055573F">
              <w:rPr>
                <w:b/>
                <w:bCs/>
              </w:rPr>
              <w:t>1</w:t>
            </w:r>
            <w:r w:rsidRPr="0038762C">
              <w:rPr>
                <w:b/>
                <w:bCs/>
              </w:rPr>
              <w:t xml:space="preserve"> tCO₂e</w:t>
            </w:r>
          </w:p>
        </w:tc>
        <w:tc>
          <w:tcPr>
            <w:tcW w:w="0" w:type="auto"/>
            <w:vAlign w:val="center"/>
            <w:hideMark/>
          </w:tcPr>
          <w:p w14:paraId="03C4C6A7" w14:textId="77777777" w:rsidR="0038762C" w:rsidRPr="0038762C" w:rsidRDefault="0038762C" w:rsidP="0038762C">
            <w:r w:rsidRPr="0038762C">
              <w:t>Baseline Year: 2023</w:t>
            </w:r>
          </w:p>
        </w:tc>
      </w:tr>
    </w:tbl>
    <w:p w14:paraId="08C83155" w14:textId="09BA46D6" w:rsidR="0038762C" w:rsidRPr="0038762C" w:rsidRDefault="0038762C" w:rsidP="0038762C"/>
    <w:p w14:paraId="03192C33" w14:textId="77777777" w:rsidR="0038762C" w:rsidRPr="0038762C" w:rsidRDefault="0038762C" w:rsidP="0038762C">
      <w:pPr>
        <w:rPr>
          <w:b/>
          <w:bCs/>
        </w:rPr>
      </w:pPr>
      <w:r w:rsidRPr="0038762C">
        <w:rPr>
          <w:b/>
          <w:bCs/>
        </w:rPr>
        <w:t>Current Emissions Reduction Initiatives</w:t>
      </w:r>
    </w:p>
    <w:p w14:paraId="77C15B58" w14:textId="77777777" w:rsidR="0038762C" w:rsidRPr="0038762C" w:rsidRDefault="0038762C" w:rsidP="0038762C">
      <w:r w:rsidRPr="0038762C">
        <w:t>Home Not Hospital has already embedded sustainability into its operations, reducing emissions from day-to-day care delivery and management:</w:t>
      </w:r>
    </w:p>
    <w:p w14:paraId="4FDA2F5D" w14:textId="77777777" w:rsidR="0038762C" w:rsidRPr="0038762C" w:rsidRDefault="0038762C" w:rsidP="0038762C">
      <w:pPr>
        <w:rPr>
          <w:b/>
          <w:bCs/>
        </w:rPr>
      </w:pPr>
      <w:r w:rsidRPr="0038762C">
        <w:rPr>
          <w:b/>
          <w:bCs/>
        </w:rPr>
        <w:t>1. Remote and Flexible Working</w:t>
      </w:r>
    </w:p>
    <w:p w14:paraId="0057DF07" w14:textId="77777777" w:rsidR="0038762C" w:rsidRPr="0038762C" w:rsidRDefault="0038762C" w:rsidP="0038762C">
      <w:pPr>
        <w:numPr>
          <w:ilvl w:val="0"/>
          <w:numId w:val="1"/>
        </w:numPr>
      </w:pPr>
      <w:r w:rsidRPr="0038762C">
        <w:t xml:space="preserve">Senior and administrative staff primarily </w:t>
      </w:r>
      <w:r w:rsidRPr="002C14ED">
        <w:t>work from home,</w:t>
      </w:r>
      <w:r w:rsidRPr="0038762C">
        <w:t xml:space="preserve"> reducing commuting emissions.</w:t>
      </w:r>
    </w:p>
    <w:p w14:paraId="4613B3A9" w14:textId="77777777" w:rsidR="0038762C" w:rsidRPr="0038762C" w:rsidRDefault="0038762C" w:rsidP="0038762C">
      <w:pPr>
        <w:numPr>
          <w:ilvl w:val="0"/>
          <w:numId w:val="1"/>
        </w:numPr>
      </w:pPr>
      <w:r w:rsidRPr="0038762C">
        <w:t>Digital meetings and supervision are standard practice.</w:t>
      </w:r>
    </w:p>
    <w:p w14:paraId="7CE02300" w14:textId="77777777" w:rsidR="0038762C" w:rsidRPr="0038762C" w:rsidRDefault="0038762C" w:rsidP="0038762C">
      <w:pPr>
        <w:rPr>
          <w:b/>
          <w:bCs/>
        </w:rPr>
      </w:pPr>
      <w:r w:rsidRPr="0038762C">
        <w:rPr>
          <w:b/>
          <w:bCs/>
        </w:rPr>
        <w:lastRenderedPageBreak/>
        <w:t>2. Sustainable Staff Travel</w:t>
      </w:r>
    </w:p>
    <w:p w14:paraId="3DAB9F9A" w14:textId="77777777" w:rsidR="0038762C" w:rsidRPr="002C14ED" w:rsidRDefault="0038762C" w:rsidP="0038762C">
      <w:pPr>
        <w:numPr>
          <w:ilvl w:val="0"/>
          <w:numId w:val="2"/>
        </w:numPr>
      </w:pPr>
      <w:r w:rsidRPr="0038762C">
        <w:t xml:space="preserve">Staff are </w:t>
      </w:r>
      <w:r w:rsidRPr="002C14ED">
        <w:t>encouraged to use public transport and lift share whenever possible.</w:t>
      </w:r>
    </w:p>
    <w:p w14:paraId="7C16A04C" w14:textId="4FBC4638" w:rsidR="0038762C" w:rsidRPr="0038762C" w:rsidRDefault="0038762C" w:rsidP="0038762C">
      <w:pPr>
        <w:numPr>
          <w:ilvl w:val="0"/>
          <w:numId w:val="2"/>
        </w:numPr>
      </w:pPr>
      <w:r w:rsidRPr="002C14ED">
        <w:t>Care staff are recruited locally to</w:t>
      </w:r>
      <w:r w:rsidRPr="0038762C">
        <w:t xml:space="preserve"> minimise travel.</w:t>
      </w:r>
    </w:p>
    <w:p w14:paraId="0B107D26" w14:textId="77777777" w:rsidR="0038762C" w:rsidRPr="0038762C" w:rsidRDefault="0038762C" w:rsidP="0038762C">
      <w:pPr>
        <w:rPr>
          <w:b/>
          <w:bCs/>
        </w:rPr>
      </w:pPr>
      <w:r w:rsidRPr="0038762C">
        <w:rPr>
          <w:b/>
          <w:bCs/>
        </w:rPr>
        <w:t>3. Low-Energy Office Operations</w:t>
      </w:r>
    </w:p>
    <w:p w14:paraId="129DBFE6" w14:textId="01A8511A" w:rsidR="0038762C" w:rsidRPr="0038762C" w:rsidRDefault="0055573F" w:rsidP="0038762C">
      <w:pPr>
        <w:numPr>
          <w:ilvl w:val="0"/>
          <w:numId w:val="3"/>
        </w:numPr>
      </w:pPr>
      <w:r>
        <w:t>One</w:t>
      </w:r>
      <w:r w:rsidR="0038762C" w:rsidRPr="0038762C">
        <w:t xml:space="preserve"> small office located in </w:t>
      </w:r>
      <w:r>
        <w:t xml:space="preserve">a </w:t>
      </w:r>
      <w:r w:rsidR="0038762C" w:rsidRPr="002C14ED">
        <w:t>shared, energy-efficient space.</w:t>
      </w:r>
    </w:p>
    <w:p w14:paraId="48D78AA9" w14:textId="23AD29F9" w:rsidR="0038762C" w:rsidRPr="0038762C" w:rsidRDefault="0038762C" w:rsidP="0038762C">
      <w:pPr>
        <w:numPr>
          <w:ilvl w:val="0"/>
          <w:numId w:val="3"/>
        </w:numPr>
      </w:pPr>
      <w:r w:rsidRPr="0038762C">
        <w:t>LED lighting, smart heating controls, and energy management by building landlord.</w:t>
      </w:r>
    </w:p>
    <w:p w14:paraId="0FEF4067" w14:textId="77777777" w:rsidR="0038762C" w:rsidRPr="0038762C" w:rsidRDefault="0038762C" w:rsidP="0038762C">
      <w:pPr>
        <w:rPr>
          <w:b/>
          <w:bCs/>
        </w:rPr>
      </w:pPr>
      <w:r w:rsidRPr="0038762C">
        <w:rPr>
          <w:b/>
          <w:bCs/>
        </w:rPr>
        <w:t>4. Paperless Organisation</w:t>
      </w:r>
    </w:p>
    <w:p w14:paraId="68865C13" w14:textId="77777777" w:rsidR="0038762C" w:rsidRPr="002C14ED" w:rsidRDefault="0038762C" w:rsidP="0038762C">
      <w:pPr>
        <w:numPr>
          <w:ilvl w:val="0"/>
          <w:numId w:val="4"/>
        </w:numPr>
      </w:pPr>
      <w:r w:rsidRPr="002C14ED">
        <w:t>Entirely digital recordkeeping and care documentation.</w:t>
      </w:r>
    </w:p>
    <w:p w14:paraId="058728A3" w14:textId="77777777" w:rsidR="0038762C" w:rsidRPr="002C14ED" w:rsidRDefault="0038762C" w:rsidP="0038762C">
      <w:pPr>
        <w:numPr>
          <w:ilvl w:val="0"/>
          <w:numId w:val="4"/>
        </w:numPr>
      </w:pPr>
      <w:r w:rsidRPr="002C14ED">
        <w:t>Microsoft 365 and secure cloud storage eliminate paper use.</w:t>
      </w:r>
    </w:p>
    <w:p w14:paraId="2D2E9FA0" w14:textId="77777777" w:rsidR="0038762C" w:rsidRPr="002C14ED" w:rsidRDefault="0038762C" w:rsidP="0038762C">
      <w:pPr>
        <w:rPr>
          <w:b/>
          <w:bCs/>
        </w:rPr>
      </w:pPr>
      <w:r w:rsidRPr="002C14ED">
        <w:rPr>
          <w:b/>
          <w:bCs/>
        </w:rPr>
        <w:t>5. Efficient IT and Equipment Use</w:t>
      </w:r>
    </w:p>
    <w:p w14:paraId="70AE8F9E" w14:textId="77777777" w:rsidR="0038762C" w:rsidRPr="002C14ED" w:rsidRDefault="0038762C" w:rsidP="0038762C">
      <w:pPr>
        <w:numPr>
          <w:ilvl w:val="0"/>
          <w:numId w:val="5"/>
        </w:numPr>
      </w:pPr>
      <w:r w:rsidRPr="002C14ED">
        <w:t>Senior staff use Microsoft Surface Pros and iPhones, both energy-efficient devices.</w:t>
      </w:r>
    </w:p>
    <w:p w14:paraId="73C8A013" w14:textId="77777777" w:rsidR="0038762C" w:rsidRPr="002C14ED" w:rsidRDefault="0038762C" w:rsidP="0038762C">
      <w:pPr>
        <w:numPr>
          <w:ilvl w:val="0"/>
          <w:numId w:val="5"/>
        </w:numPr>
      </w:pPr>
      <w:r w:rsidRPr="002C14ED">
        <w:t>IT equipment is repurposed and rebuilt in-house, extending device life and reducing e-waste.</w:t>
      </w:r>
    </w:p>
    <w:p w14:paraId="72B1E685" w14:textId="4461EFB3" w:rsidR="0038762C" w:rsidRPr="002C14ED" w:rsidRDefault="0038762C" w:rsidP="0038762C">
      <w:pPr>
        <w:numPr>
          <w:ilvl w:val="0"/>
          <w:numId w:val="5"/>
        </w:numPr>
      </w:pPr>
      <w:r w:rsidRPr="002C14ED">
        <w:t xml:space="preserve">Cloud systems (SharePoint, OneDrive) are hosted in data centres powered by renewable energy. Digital Care Management System (Log My Care) </w:t>
      </w:r>
      <w:r w:rsidR="00F86699" w:rsidRPr="002C14ED">
        <w:t>seek to optimise data storage, cloud usage, and server efficiency to reduce energy consumption and emissions.</w:t>
      </w:r>
    </w:p>
    <w:p w14:paraId="2DE572A1" w14:textId="77777777" w:rsidR="0038762C" w:rsidRPr="002C14ED" w:rsidRDefault="0038762C" w:rsidP="0038762C">
      <w:pPr>
        <w:rPr>
          <w:b/>
          <w:bCs/>
        </w:rPr>
      </w:pPr>
      <w:r w:rsidRPr="002C14ED">
        <w:rPr>
          <w:b/>
          <w:bCs/>
        </w:rPr>
        <w:t>6. Responsible Waste and Medication Disposal</w:t>
      </w:r>
    </w:p>
    <w:p w14:paraId="566B5D22" w14:textId="77777777" w:rsidR="0038762C" w:rsidRPr="002C14ED" w:rsidRDefault="0038762C" w:rsidP="0038762C">
      <w:pPr>
        <w:numPr>
          <w:ilvl w:val="0"/>
          <w:numId w:val="6"/>
        </w:numPr>
      </w:pPr>
      <w:r w:rsidRPr="002C14ED">
        <w:t>Medication disposed of via local pharmacies, in line with NHS environmental standards.</w:t>
      </w:r>
    </w:p>
    <w:p w14:paraId="1D7CA153" w14:textId="6AC9DB81" w:rsidR="0038762C" w:rsidRPr="002C14ED" w:rsidRDefault="0038762C" w:rsidP="0038762C">
      <w:pPr>
        <w:numPr>
          <w:ilvl w:val="0"/>
          <w:numId w:val="6"/>
        </w:numPr>
      </w:pPr>
      <w:r w:rsidRPr="002C14ED">
        <w:t>Electronic waste and batteries recycled responsibly.</w:t>
      </w:r>
    </w:p>
    <w:p w14:paraId="5145BDD9" w14:textId="77777777" w:rsidR="0038762C" w:rsidRPr="002C14ED" w:rsidRDefault="0038762C" w:rsidP="0038762C">
      <w:pPr>
        <w:rPr>
          <w:b/>
          <w:bCs/>
        </w:rPr>
      </w:pPr>
      <w:r w:rsidRPr="002C14ED">
        <w:rPr>
          <w:b/>
          <w:bCs/>
        </w:rPr>
        <w:t>Planned Carbon Reduction Initiatives</w:t>
      </w:r>
    </w:p>
    <w:p w14:paraId="7B911FB8" w14:textId="77777777" w:rsidR="0038762C" w:rsidRPr="0038762C" w:rsidRDefault="0038762C" w:rsidP="0038762C">
      <w:r w:rsidRPr="0038762C">
        <w:t>Home Not Hospital will implement the following measures to further reduce carbon emissions and achieve Net Zero by 2050: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937"/>
        <w:gridCol w:w="6040"/>
      </w:tblGrid>
      <w:tr w:rsidR="0038762C" w:rsidRPr="0038762C" w14:paraId="05463D7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7AD9A5" w14:textId="77777777" w:rsidR="0038762C" w:rsidRPr="0038762C" w:rsidRDefault="0038762C" w:rsidP="0038762C">
            <w:pPr>
              <w:rPr>
                <w:b/>
                <w:bCs/>
              </w:rPr>
            </w:pPr>
            <w:r w:rsidRPr="0038762C">
              <w:rPr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48FC55E6" w14:textId="77777777" w:rsidR="0038762C" w:rsidRPr="0038762C" w:rsidRDefault="0038762C" w:rsidP="0038762C">
            <w:pPr>
              <w:rPr>
                <w:b/>
                <w:bCs/>
              </w:rPr>
            </w:pPr>
            <w:r w:rsidRPr="0038762C">
              <w:rPr>
                <w:b/>
                <w:bCs/>
              </w:rPr>
              <w:t>Target Date</w:t>
            </w:r>
          </w:p>
        </w:tc>
        <w:tc>
          <w:tcPr>
            <w:tcW w:w="0" w:type="auto"/>
            <w:vAlign w:val="center"/>
            <w:hideMark/>
          </w:tcPr>
          <w:p w14:paraId="137832EC" w14:textId="77777777" w:rsidR="0038762C" w:rsidRPr="0038762C" w:rsidRDefault="0038762C" w:rsidP="0038762C">
            <w:pPr>
              <w:rPr>
                <w:b/>
                <w:bCs/>
              </w:rPr>
            </w:pPr>
            <w:r w:rsidRPr="0038762C">
              <w:rPr>
                <w:b/>
                <w:bCs/>
              </w:rPr>
              <w:t>Description</w:t>
            </w:r>
          </w:p>
        </w:tc>
      </w:tr>
      <w:tr w:rsidR="0038762C" w:rsidRPr="0038762C" w14:paraId="09197C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09468" w14:textId="77777777" w:rsidR="0038762C" w:rsidRPr="0038762C" w:rsidRDefault="0038762C" w:rsidP="0038762C">
            <w:r w:rsidRPr="0038762C">
              <w:rPr>
                <w:b/>
                <w:bCs/>
              </w:rPr>
              <w:t>Transition to Low-Emission Fleet</w:t>
            </w:r>
          </w:p>
        </w:tc>
        <w:tc>
          <w:tcPr>
            <w:tcW w:w="0" w:type="auto"/>
            <w:vAlign w:val="center"/>
            <w:hideMark/>
          </w:tcPr>
          <w:p w14:paraId="7B3A50FD" w14:textId="77777777" w:rsidR="0038762C" w:rsidRPr="0038762C" w:rsidRDefault="0038762C" w:rsidP="0038762C">
            <w:r w:rsidRPr="0038762C">
              <w:t>2030</w:t>
            </w:r>
          </w:p>
        </w:tc>
        <w:tc>
          <w:tcPr>
            <w:tcW w:w="0" w:type="auto"/>
            <w:vAlign w:val="center"/>
            <w:hideMark/>
          </w:tcPr>
          <w:p w14:paraId="0741F9D1" w14:textId="46EC6BC0" w:rsidR="0038762C" w:rsidRPr="0038762C" w:rsidRDefault="0038762C" w:rsidP="0038762C">
            <w:r>
              <w:t>Encourage the use of</w:t>
            </w:r>
            <w:r w:rsidRPr="0038762C">
              <w:t xml:space="preserve"> hybrid/electric vehicles for </w:t>
            </w:r>
            <w:r>
              <w:t>service user</w:t>
            </w:r>
            <w:r w:rsidRPr="0038762C">
              <w:t xml:space="preserve"> travel</w:t>
            </w:r>
            <w:r>
              <w:t xml:space="preserve"> (e.g. though Motability scheme)</w:t>
            </w:r>
            <w:r w:rsidRPr="0038762C">
              <w:t>. Review travel routes for efficiency.</w:t>
            </w:r>
          </w:p>
        </w:tc>
      </w:tr>
      <w:tr w:rsidR="0038762C" w:rsidRPr="0038762C" w14:paraId="4ADB99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58EF4" w14:textId="77777777" w:rsidR="0038762C" w:rsidRPr="0038762C" w:rsidRDefault="0038762C" w:rsidP="0038762C">
            <w:r w:rsidRPr="0038762C">
              <w:rPr>
                <w:b/>
                <w:bCs/>
              </w:rPr>
              <w:t>Green Office Energy Supply</w:t>
            </w:r>
          </w:p>
        </w:tc>
        <w:tc>
          <w:tcPr>
            <w:tcW w:w="0" w:type="auto"/>
            <w:vAlign w:val="center"/>
            <w:hideMark/>
          </w:tcPr>
          <w:p w14:paraId="68D9EF3E" w14:textId="77777777" w:rsidR="0038762C" w:rsidRPr="0038762C" w:rsidRDefault="0038762C" w:rsidP="0038762C">
            <w:r w:rsidRPr="0038762C">
              <w:t>2026</w:t>
            </w:r>
          </w:p>
        </w:tc>
        <w:tc>
          <w:tcPr>
            <w:tcW w:w="0" w:type="auto"/>
            <w:vAlign w:val="center"/>
            <w:hideMark/>
          </w:tcPr>
          <w:p w14:paraId="0BBC1E1B" w14:textId="27B834F3" w:rsidR="0038762C" w:rsidRPr="0038762C" w:rsidRDefault="003417F5" w:rsidP="0038762C">
            <w:r>
              <w:t>Liaise with landlord to s</w:t>
            </w:r>
            <w:r w:rsidR="0038762C" w:rsidRPr="0038762C">
              <w:t>witch to 100% renewable electricity tariffs in office.</w:t>
            </w:r>
          </w:p>
        </w:tc>
      </w:tr>
      <w:tr w:rsidR="0038762C" w:rsidRPr="0038762C" w14:paraId="38C360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0475D" w14:textId="77777777" w:rsidR="0038762C" w:rsidRPr="0038762C" w:rsidRDefault="0038762C" w:rsidP="0038762C">
            <w:r w:rsidRPr="0038762C">
              <w:rPr>
                <w:b/>
                <w:bCs/>
              </w:rPr>
              <w:t>Enhanced Sustainable Travel Policy</w:t>
            </w:r>
          </w:p>
        </w:tc>
        <w:tc>
          <w:tcPr>
            <w:tcW w:w="0" w:type="auto"/>
            <w:vAlign w:val="center"/>
            <w:hideMark/>
          </w:tcPr>
          <w:p w14:paraId="50DEB13F" w14:textId="77777777" w:rsidR="0038762C" w:rsidRPr="0038762C" w:rsidRDefault="0038762C" w:rsidP="0038762C">
            <w:r w:rsidRPr="0038762C">
              <w:t>2025</w:t>
            </w:r>
          </w:p>
        </w:tc>
        <w:tc>
          <w:tcPr>
            <w:tcW w:w="0" w:type="auto"/>
            <w:vAlign w:val="center"/>
            <w:hideMark/>
          </w:tcPr>
          <w:p w14:paraId="0A429E66" w14:textId="77777777" w:rsidR="0038762C" w:rsidRPr="0038762C" w:rsidRDefault="0038762C" w:rsidP="0038762C">
            <w:r w:rsidRPr="0038762C">
              <w:t>Introduce a formal policy to encourage public transport use, carpooling, and cycle-to-work participation.</w:t>
            </w:r>
          </w:p>
        </w:tc>
      </w:tr>
      <w:tr w:rsidR="0038762C" w:rsidRPr="0038762C" w14:paraId="4A6846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2D02F" w14:textId="77777777" w:rsidR="0038762C" w:rsidRPr="0038762C" w:rsidRDefault="0038762C" w:rsidP="0038762C">
            <w:r w:rsidRPr="0038762C">
              <w:rPr>
                <w:b/>
                <w:bCs/>
              </w:rPr>
              <w:lastRenderedPageBreak/>
              <w:t>Supplier Carbon Standards</w:t>
            </w:r>
          </w:p>
        </w:tc>
        <w:tc>
          <w:tcPr>
            <w:tcW w:w="0" w:type="auto"/>
            <w:vAlign w:val="center"/>
            <w:hideMark/>
          </w:tcPr>
          <w:p w14:paraId="7BD96447" w14:textId="77777777" w:rsidR="0038762C" w:rsidRPr="0038762C" w:rsidRDefault="0038762C" w:rsidP="0038762C">
            <w:r w:rsidRPr="0038762C">
              <w:t>2027</w:t>
            </w:r>
          </w:p>
        </w:tc>
        <w:tc>
          <w:tcPr>
            <w:tcW w:w="0" w:type="auto"/>
            <w:vAlign w:val="center"/>
            <w:hideMark/>
          </w:tcPr>
          <w:p w14:paraId="5DE8E363" w14:textId="77777777" w:rsidR="0038762C" w:rsidRPr="0038762C" w:rsidRDefault="0038762C" w:rsidP="0038762C">
            <w:r w:rsidRPr="0038762C">
              <w:t>Prioritise suppliers with published carbon reduction policies, especially in IT and cloud services.</w:t>
            </w:r>
          </w:p>
        </w:tc>
      </w:tr>
      <w:tr w:rsidR="0038762C" w:rsidRPr="0038762C" w14:paraId="6CA0F0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3C729" w14:textId="77777777" w:rsidR="0038762C" w:rsidRPr="0038762C" w:rsidRDefault="0038762C" w:rsidP="0038762C">
            <w:r w:rsidRPr="0038762C">
              <w:rPr>
                <w:b/>
                <w:bCs/>
              </w:rPr>
              <w:t>Carbon Awareness Training</w:t>
            </w:r>
          </w:p>
        </w:tc>
        <w:tc>
          <w:tcPr>
            <w:tcW w:w="0" w:type="auto"/>
            <w:vAlign w:val="center"/>
            <w:hideMark/>
          </w:tcPr>
          <w:p w14:paraId="7DAC23D1" w14:textId="59A8AC75" w:rsidR="0038762C" w:rsidRPr="0038762C" w:rsidRDefault="0038762C" w:rsidP="0038762C">
            <w:r w:rsidRPr="0038762C">
              <w:t>202</w:t>
            </w:r>
            <w:r w:rsidR="00FE590F">
              <w:t>6</w:t>
            </w:r>
          </w:p>
        </w:tc>
        <w:tc>
          <w:tcPr>
            <w:tcW w:w="0" w:type="auto"/>
            <w:vAlign w:val="center"/>
            <w:hideMark/>
          </w:tcPr>
          <w:p w14:paraId="4FE70468" w14:textId="77777777" w:rsidR="0038762C" w:rsidRPr="0038762C" w:rsidRDefault="0038762C" w:rsidP="0038762C">
            <w:r w:rsidRPr="0038762C">
              <w:t>Provide training for staff and managers to improve understanding of low-carbon care delivery.</w:t>
            </w:r>
          </w:p>
        </w:tc>
      </w:tr>
      <w:tr w:rsidR="0038762C" w:rsidRPr="0038762C" w14:paraId="21C6E1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305AB" w14:textId="77777777" w:rsidR="0038762C" w:rsidRPr="0038762C" w:rsidRDefault="0038762C" w:rsidP="0038762C">
            <w:r w:rsidRPr="0038762C">
              <w:rPr>
                <w:b/>
                <w:bCs/>
              </w:rPr>
              <w:t>Carbon Offsetting (Interim)</w:t>
            </w:r>
          </w:p>
        </w:tc>
        <w:tc>
          <w:tcPr>
            <w:tcW w:w="0" w:type="auto"/>
            <w:vAlign w:val="center"/>
            <w:hideMark/>
          </w:tcPr>
          <w:p w14:paraId="273D749F" w14:textId="77777777" w:rsidR="0038762C" w:rsidRPr="0038762C" w:rsidRDefault="0038762C" w:rsidP="0038762C">
            <w:r w:rsidRPr="0038762C">
              <w:t>From 2030</w:t>
            </w:r>
          </w:p>
        </w:tc>
        <w:tc>
          <w:tcPr>
            <w:tcW w:w="0" w:type="auto"/>
            <w:vAlign w:val="center"/>
            <w:hideMark/>
          </w:tcPr>
          <w:p w14:paraId="7BAFC935" w14:textId="77777777" w:rsidR="0038762C" w:rsidRPr="0038762C" w:rsidRDefault="0038762C" w:rsidP="0038762C">
            <w:r w:rsidRPr="0038762C">
              <w:t>Offset unavoidable emissions through verified UK-based carbon sequestration projects.</w:t>
            </w:r>
          </w:p>
        </w:tc>
      </w:tr>
      <w:tr w:rsidR="0038762C" w:rsidRPr="0038762C" w14:paraId="679573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67D2E" w14:textId="77777777" w:rsidR="0038762C" w:rsidRPr="0038762C" w:rsidRDefault="0038762C" w:rsidP="0038762C">
            <w:r w:rsidRPr="0038762C">
              <w:rPr>
                <w:b/>
                <w:bCs/>
              </w:rPr>
              <w:t>Annual Carbon Review</w:t>
            </w:r>
          </w:p>
        </w:tc>
        <w:tc>
          <w:tcPr>
            <w:tcW w:w="0" w:type="auto"/>
            <w:vAlign w:val="center"/>
            <w:hideMark/>
          </w:tcPr>
          <w:p w14:paraId="24ED4CA4" w14:textId="77777777" w:rsidR="0038762C" w:rsidRPr="0038762C" w:rsidRDefault="0038762C" w:rsidP="0038762C">
            <w:r w:rsidRPr="0038762C">
              <w:t>Ongoing</w:t>
            </w:r>
          </w:p>
        </w:tc>
        <w:tc>
          <w:tcPr>
            <w:tcW w:w="0" w:type="auto"/>
            <w:vAlign w:val="center"/>
            <w:hideMark/>
          </w:tcPr>
          <w:p w14:paraId="3EA1FDE1" w14:textId="77777777" w:rsidR="0038762C" w:rsidRPr="0038762C" w:rsidRDefault="0038762C" w:rsidP="0038762C">
            <w:r w:rsidRPr="0038762C">
              <w:t>Publish annual carbon footprint and reduction progress on company website.</w:t>
            </w:r>
          </w:p>
        </w:tc>
      </w:tr>
    </w:tbl>
    <w:p w14:paraId="6B7B3DB9" w14:textId="76EE743F" w:rsidR="0038762C" w:rsidRPr="0038762C" w:rsidRDefault="0038762C" w:rsidP="0038762C"/>
    <w:p w14:paraId="71FBC376" w14:textId="77777777" w:rsidR="0038762C" w:rsidRPr="0038762C" w:rsidRDefault="0038762C" w:rsidP="0038762C">
      <w:pPr>
        <w:rPr>
          <w:b/>
          <w:bCs/>
        </w:rPr>
      </w:pPr>
      <w:r w:rsidRPr="0038762C">
        <w:rPr>
          <w:b/>
          <w:bCs/>
        </w:rPr>
        <w:t>Projected Emissions Reductions</w:t>
      </w:r>
    </w:p>
    <w:p w14:paraId="62867D60" w14:textId="77777777" w:rsidR="0038762C" w:rsidRPr="0038762C" w:rsidRDefault="0038762C" w:rsidP="0038762C">
      <w:r w:rsidRPr="0038762C">
        <w:t>Home Not Hospital projects the following emissions trajectory toward Net Zero: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2774"/>
        <w:gridCol w:w="4848"/>
      </w:tblGrid>
      <w:tr w:rsidR="0038762C" w:rsidRPr="0038762C" w14:paraId="2DC3BAD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84C149" w14:textId="77777777" w:rsidR="0038762C" w:rsidRPr="0038762C" w:rsidRDefault="0038762C" w:rsidP="0038762C">
            <w:pPr>
              <w:rPr>
                <w:b/>
                <w:bCs/>
              </w:rPr>
            </w:pPr>
            <w:r w:rsidRPr="0038762C">
              <w:rPr>
                <w:b/>
                <w:bCs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6BF7FF8F" w14:textId="77777777" w:rsidR="0038762C" w:rsidRPr="0038762C" w:rsidRDefault="0038762C" w:rsidP="0038762C">
            <w:pPr>
              <w:rPr>
                <w:b/>
                <w:bCs/>
              </w:rPr>
            </w:pPr>
            <w:r w:rsidRPr="0038762C">
              <w:rPr>
                <w:b/>
                <w:bCs/>
              </w:rPr>
              <w:t>Projected Total Emissions (tCO₂e)</w:t>
            </w:r>
          </w:p>
        </w:tc>
        <w:tc>
          <w:tcPr>
            <w:tcW w:w="0" w:type="auto"/>
            <w:vAlign w:val="center"/>
            <w:hideMark/>
          </w:tcPr>
          <w:p w14:paraId="2413FC53" w14:textId="77777777" w:rsidR="0038762C" w:rsidRPr="0038762C" w:rsidRDefault="0038762C" w:rsidP="0038762C">
            <w:pPr>
              <w:rPr>
                <w:b/>
                <w:bCs/>
              </w:rPr>
            </w:pPr>
            <w:r w:rsidRPr="0038762C">
              <w:rPr>
                <w:b/>
                <w:bCs/>
              </w:rPr>
              <w:t>Key Milestone</w:t>
            </w:r>
          </w:p>
        </w:tc>
      </w:tr>
      <w:tr w:rsidR="0038762C" w:rsidRPr="0038762C" w14:paraId="779EA9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4B1C3" w14:textId="77777777" w:rsidR="0038762C" w:rsidRPr="0038762C" w:rsidRDefault="0038762C" w:rsidP="0038762C">
            <w:r w:rsidRPr="0038762C">
              <w:rPr>
                <w:b/>
                <w:bCs/>
              </w:rPr>
              <w:t>2023 (Baseline)</w:t>
            </w:r>
          </w:p>
        </w:tc>
        <w:tc>
          <w:tcPr>
            <w:tcW w:w="0" w:type="auto"/>
            <w:vAlign w:val="center"/>
            <w:hideMark/>
          </w:tcPr>
          <w:p w14:paraId="08845AE3" w14:textId="27B808B5" w:rsidR="0038762C" w:rsidRPr="0038762C" w:rsidRDefault="0038762C" w:rsidP="0038762C">
            <w:r w:rsidRPr="0038762C">
              <w:t>12.</w:t>
            </w:r>
            <w:r w:rsidR="009409C2">
              <w:t>1</w:t>
            </w:r>
          </w:p>
        </w:tc>
        <w:tc>
          <w:tcPr>
            <w:tcW w:w="0" w:type="auto"/>
            <w:vAlign w:val="center"/>
            <w:hideMark/>
          </w:tcPr>
          <w:p w14:paraId="589F7029" w14:textId="77777777" w:rsidR="0038762C" w:rsidRPr="0038762C" w:rsidRDefault="0038762C" w:rsidP="0038762C">
            <w:r w:rsidRPr="0038762C">
              <w:t>Baseline established</w:t>
            </w:r>
          </w:p>
        </w:tc>
      </w:tr>
      <w:tr w:rsidR="0038762C" w:rsidRPr="0038762C" w14:paraId="26B3B6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8FD06" w14:textId="77777777" w:rsidR="0038762C" w:rsidRPr="0038762C" w:rsidRDefault="0038762C" w:rsidP="0038762C">
            <w:r w:rsidRPr="0038762C">
              <w:rPr>
                <w:b/>
                <w:bCs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4B6F9623" w14:textId="77777777" w:rsidR="0038762C" w:rsidRPr="0038762C" w:rsidRDefault="0038762C" w:rsidP="0038762C">
            <w:r w:rsidRPr="0038762C">
              <w:t>10.5</w:t>
            </w:r>
          </w:p>
        </w:tc>
        <w:tc>
          <w:tcPr>
            <w:tcW w:w="0" w:type="auto"/>
            <w:vAlign w:val="center"/>
            <w:hideMark/>
          </w:tcPr>
          <w:p w14:paraId="12DF9715" w14:textId="77777777" w:rsidR="0038762C" w:rsidRPr="0038762C" w:rsidRDefault="0038762C" w:rsidP="0038762C">
            <w:r w:rsidRPr="0038762C">
              <w:t>Remote working and travel efficiency embedded</w:t>
            </w:r>
          </w:p>
        </w:tc>
      </w:tr>
      <w:tr w:rsidR="0038762C" w:rsidRPr="0038762C" w14:paraId="663A72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77D99" w14:textId="77777777" w:rsidR="0038762C" w:rsidRPr="0038762C" w:rsidRDefault="0038762C" w:rsidP="0038762C">
            <w:r w:rsidRPr="0038762C">
              <w:rPr>
                <w:b/>
                <w:bCs/>
              </w:rPr>
              <w:t>2030</w:t>
            </w:r>
          </w:p>
        </w:tc>
        <w:tc>
          <w:tcPr>
            <w:tcW w:w="0" w:type="auto"/>
            <w:vAlign w:val="center"/>
            <w:hideMark/>
          </w:tcPr>
          <w:p w14:paraId="384A4DCB" w14:textId="77777777" w:rsidR="0038762C" w:rsidRPr="0038762C" w:rsidRDefault="0038762C" w:rsidP="0038762C">
            <w:r w:rsidRPr="0038762C">
              <w:t>7.0</w:t>
            </w:r>
          </w:p>
        </w:tc>
        <w:tc>
          <w:tcPr>
            <w:tcW w:w="0" w:type="auto"/>
            <w:vAlign w:val="center"/>
            <w:hideMark/>
          </w:tcPr>
          <w:p w14:paraId="15973E37" w14:textId="77777777" w:rsidR="0038762C" w:rsidRPr="0038762C" w:rsidRDefault="0038762C" w:rsidP="0038762C">
            <w:r w:rsidRPr="0038762C">
              <w:t>EV transition and renewable energy supply</w:t>
            </w:r>
          </w:p>
        </w:tc>
      </w:tr>
      <w:tr w:rsidR="0038762C" w:rsidRPr="0038762C" w14:paraId="224E9F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35D31" w14:textId="77777777" w:rsidR="0038762C" w:rsidRPr="0038762C" w:rsidRDefault="0038762C" w:rsidP="0038762C">
            <w:r w:rsidRPr="0038762C">
              <w:rPr>
                <w:b/>
                <w:bCs/>
              </w:rPr>
              <w:t>2040</w:t>
            </w:r>
          </w:p>
        </w:tc>
        <w:tc>
          <w:tcPr>
            <w:tcW w:w="0" w:type="auto"/>
            <w:vAlign w:val="center"/>
            <w:hideMark/>
          </w:tcPr>
          <w:p w14:paraId="782B1383" w14:textId="77777777" w:rsidR="0038762C" w:rsidRPr="0038762C" w:rsidRDefault="0038762C" w:rsidP="0038762C">
            <w:r w:rsidRPr="0038762C">
              <w:t>3.0</w:t>
            </w:r>
          </w:p>
        </w:tc>
        <w:tc>
          <w:tcPr>
            <w:tcW w:w="0" w:type="auto"/>
            <w:vAlign w:val="center"/>
            <w:hideMark/>
          </w:tcPr>
          <w:p w14:paraId="27988C64" w14:textId="77777777" w:rsidR="0038762C" w:rsidRPr="0038762C" w:rsidRDefault="0038762C" w:rsidP="0038762C">
            <w:r w:rsidRPr="0038762C">
              <w:t>Full supplier decarbonisation, minimal operational footprint</w:t>
            </w:r>
          </w:p>
        </w:tc>
      </w:tr>
      <w:tr w:rsidR="0038762C" w:rsidRPr="0038762C" w14:paraId="28CF0F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18DE2" w14:textId="77777777" w:rsidR="0038762C" w:rsidRPr="0038762C" w:rsidRDefault="0038762C" w:rsidP="0038762C">
            <w:r w:rsidRPr="0038762C">
              <w:rPr>
                <w:b/>
                <w:bCs/>
              </w:rPr>
              <w:t>2050</w:t>
            </w:r>
          </w:p>
        </w:tc>
        <w:tc>
          <w:tcPr>
            <w:tcW w:w="0" w:type="auto"/>
            <w:vAlign w:val="center"/>
            <w:hideMark/>
          </w:tcPr>
          <w:p w14:paraId="16ECF331" w14:textId="77777777" w:rsidR="0038762C" w:rsidRPr="0038762C" w:rsidRDefault="0038762C" w:rsidP="0038762C">
            <w:r w:rsidRPr="0038762C">
              <w:t>0.0</w:t>
            </w:r>
          </w:p>
        </w:tc>
        <w:tc>
          <w:tcPr>
            <w:tcW w:w="0" w:type="auto"/>
            <w:vAlign w:val="center"/>
            <w:hideMark/>
          </w:tcPr>
          <w:p w14:paraId="1B3A5B58" w14:textId="77777777" w:rsidR="0038762C" w:rsidRPr="0038762C" w:rsidRDefault="0038762C" w:rsidP="0038762C">
            <w:r w:rsidRPr="0038762C">
              <w:t>Net Zero achieved (residual offsetting where required)</w:t>
            </w:r>
          </w:p>
        </w:tc>
      </w:tr>
    </w:tbl>
    <w:p w14:paraId="2A9E9E64" w14:textId="34EE8A60" w:rsidR="0038762C" w:rsidRPr="0038762C" w:rsidRDefault="0038762C" w:rsidP="0038762C"/>
    <w:p w14:paraId="222F3786" w14:textId="77777777" w:rsidR="0038762C" w:rsidRPr="0038762C" w:rsidRDefault="0038762C" w:rsidP="0038762C">
      <w:pPr>
        <w:rPr>
          <w:b/>
          <w:bCs/>
        </w:rPr>
      </w:pPr>
      <w:r w:rsidRPr="0038762C">
        <w:rPr>
          <w:b/>
          <w:bCs/>
        </w:rPr>
        <w:t>Measuring and Reporting</w:t>
      </w:r>
    </w:p>
    <w:p w14:paraId="0871D751" w14:textId="77777777" w:rsidR="0038762C" w:rsidRPr="002C14ED" w:rsidRDefault="0038762C" w:rsidP="0038762C">
      <w:pPr>
        <w:numPr>
          <w:ilvl w:val="0"/>
          <w:numId w:val="7"/>
        </w:numPr>
      </w:pPr>
      <w:r w:rsidRPr="0038762C">
        <w:t xml:space="preserve">Home Not Hospital will </w:t>
      </w:r>
      <w:r w:rsidRPr="002C14ED">
        <w:t>calculate annual emissions using the GHG Protocol and UK Government conversion factors for company reporting.</w:t>
      </w:r>
    </w:p>
    <w:p w14:paraId="125DE46B" w14:textId="77777777" w:rsidR="0038762C" w:rsidRPr="002C14ED" w:rsidRDefault="0038762C" w:rsidP="0038762C">
      <w:pPr>
        <w:numPr>
          <w:ilvl w:val="0"/>
          <w:numId w:val="7"/>
        </w:numPr>
      </w:pPr>
      <w:r w:rsidRPr="002C14ED">
        <w:t>Progress against this plan will be reviewed and reported annually to management and stakeholders.</w:t>
      </w:r>
    </w:p>
    <w:p w14:paraId="371093DF" w14:textId="77777777" w:rsidR="0038762C" w:rsidRPr="002C14ED" w:rsidRDefault="0038762C" w:rsidP="0038762C">
      <w:pPr>
        <w:numPr>
          <w:ilvl w:val="0"/>
          <w:numId w:val="7"/>
        </w:numPr>
      </w:pPr>
      <w:r w:rsidRPr="002C14ED">
        <w:t>The Carbon Reduction Plan will be updated each year to reflect progress, changes in operations, and new reduction initiatives.</w:t>
      </w:r>
    </w:p>
    <w:p w14:paraId="120591EE" w14:textId="77144E0D" w:rsidR="0038762C" w:rsidRPr="0038762C" w:rsidRDefault="0038762C" w:rsidP="0038762C"/>
    <w:p w14:paraId="7ABC089C" w14:textId="0A9F3EC7" w:rsidR="0038762C" w:rsidRPr="0038762C" w:rsidRDefault="0038762C" w:rsidP="0038762C">
      <w:pPr>
        <w:rPr>
          <w:b/>
          <w:bCs/>
        </w:rPr>
      </w:pPr>
      <w:r w:rsidRPr="0038762C">
        <w:rPr>
          <w:b/>
          <w:bCs/>
        </w:rPr>
        <w:lastRenderedPageBreak/>
        <w:t xml:space="preserve">Declaration </w:t>
      </w:r>
    </w:p>
    <w:p w14:paraId="1AA34EDF" w14:textId="77777777" w:rsidR="0038762C" w:rsidRPr="002C14ED" w:rsidRDefault="0038762C" w:rsidP="0038762C">
      <w:r w:rsidRPr="0038762C">
        <w:t xml:space="preserve">This Carbon Reduction Plan has been completed in accordance with </w:t>
      </w:r>
      <w:r w:rsidRPr="002C14ED">
        <w:t>PPN 06/21 and associated guidance, and meets the standard for Carbon Reduction Plans required by the UK Government.</w:t>
      </w:r>
    </w:p>
    <w:p w14:paraId="061580C8" w14:textId="77777777" w:rsidR="0038762C" w:rsidRPr="002C14ED" w:rsidRDefault="0038762C" w:rsidP="0038762C">
      <w:r w:rsidRPr="002C14ED">
        <w:t>It has been reviewed and approved by senior management at Home Not Hospital.</w:t>
      </w:r>
    </w:p>
    <w:p w14:paraId="51A3A754" w14:textId="0DB002F0" w:rsidR="00832129" w:rsidRDefault="00FD2159">
      <w:r>
        <w:rPr>
          <w:b/>
          <w:bCs/>
        </w:rPr>
        <w:t xml:space="preserve">Review date: </w:t>
      </w:r>
      <w:r w:rsidR="001E4BEE">
        <w:rPr>
          <w:b/>
          <w:bCs/>
        </w:rPr>
        <w:t>14/10/2026</w:t>
      </w:r>
    </w:p>
    <w:sectPr w:rsidR="008321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05DC" w14:textId="77777777" w:rsidR="00637D47" w:rsidRDefault="00637D47" w:rsidP="0038762C">
      <w:pPr>
        <w:spacing w:after="0" w:line="240" w:lineRule="auto"/>
      </w:pPr>
      <w:r>
        <w:separator/>
      </w:r>
    </w:p>
  </w:endnote>
  <w:endnote w:type="continuationSeparator" w:id="0">
    <w:p w14:paraId="3EBFE483" w14:textId="77777777" w:rsidR="00637D47" w:rsidRDefault="00637D47" w:rsidP="0038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BAAF" w14:textId="77777777" w:rsidR="00637D47" w:rsidRDefault="00637D47" w:rsidP="0038762C">
      <w:pPr>
        <w:spacing w:after="0" w:line="240" w:lineRule="auto"/>
      </w:pPr>
      <w:r>
        <w:separator/>
      </w:r>
    </w:p>
  </w:footnote>
  <w:footnote w:type="continuationSeparator" w:id="0">
    <w:p w14:paraId="4C4925B2" w14:textId="77777777" w:rsidR="00637D47" w:rsidRDefault="00637D47" w:rsidP="0038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5A39" w14:textId="128FF7D8" w:rsidR="0038762C" w:rsidRDefault="0038762C" w:rsidP="0038762C">
    <w:pPr>
      <w:pStyle w:val="Header"/>
      <w:jc w:val="right"/>
    </w:pPr>
    <w:r>
      <w:rPr>
        <w:noProof/>
        <w:sz w:val="2"/>
        <w:szCs w:val="2"/>
        <w:lang w:eastAsia="en-GB"/>
        <w14:ligatures w14:val="none"/>
      </w:rPr>
      <w:drawing>
        <wp:inline distT="0" distB="0" distL="0" distR="0" wp14:anchorId="226202FF" wp14:editId="40C8D246">
          <wp:extent cx="837883" cy="837883"/>
          <wp:effectExtent l="0" t="0" r="635" b="635"/>
          <wp:docPr id="1414887576" name="Picture 1" descr="A purpl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1712209" descr="A purple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462" cy="841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65964"/>
    <w:multiLevelType w:val="multilevel"/>
    <w:tmpl w:val="31E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D6DC2"/>
    <w:multiLevelType w:val="multilevel"/>
    <w:tmpl w:val="1A7C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66491"/>
    <w:multiLevelType w:val="multilevel"/>
    <w:tmpl w:val="A0D0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52DE7"/>
    <w:multiLevelType w:val="multilevel"/>
    <w:tmpl w:val="76A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44203"/>
    <w:multiLevelType w:val="multilevel"/>
    <w:tmpl w:val="6B4A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63C3A"/>
    <w:multiLevelType w:val="multilevel"/>
    <w:tmpl w:val="8892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06ED5"/>
    <w:multiLevelType w:val="multilevel"/>
    <w:tmpl w:val="85EC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390162">
    <w:abstractNumId w:val="2"/>
  </w:num>
  <w:num w:numId="2" w16cid:durableId="601181388">
    <w:abstractNumId w:val="3"/>
  </w:num>
  <w:num w:numId="3" w16cid:durableId="37291415">
    <w:abstractNumId w:val="6"/>
  </w:num>
  <w:num w:numId="4" w16cid:durableId="506677244">
    <w:abstractNumId w:val="0"/>
  </w:num>
  <w:num w:numId="5" w16cid:durableId="1928884973">
    <w:abstractNumId w:val="4"/>
  </w:num>
  <w:num w:numId="6" w16cid:durableId="1528517240">
    <w:abstractNumId w:val="1"/>
  </w:num>
  <w:num w:numId="7" w16cid:durableId="577323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C"/>
    <w:rsid w:val="000515AE"/>
    <w:rsid w:val="001E4BEE"/>
    <w:rsid w:val="002C14ED"/>
    <w:rsid w:val="0031494F"/>
    <w:rsid w:val="003417F5"/>
    <w:rsid w:val="0038762C"/>
    <w:rsid w:val="004D001E"/>
    <w:rsid w:val="0055573F"/>
    <w:rsid w:val="005A090A"/>
    <w:rsid w:val="00637D47"/>
    <w:rsid w:val="00664466"/>
    <w:rsid w:val="00832129"/>
    <w:rsid w:val="009409C2"/>
    <w:rsid w:val="00CA730B"/>
    <w:rsid w:val="00D73AA4"/>
    <w:rsid w:val="00DB7893"/>
    <w:rsid w:val="00EB43FC"/>
    <w:rsid w:val="00F86699"/>
    <w:rsid w:val="00FD2159"/>
    <w:rsid w:val="00FE590F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5783"/>
  <w15:chartTrackingRefBased/>
  <w15:docId w15:val="{227D7CD1-E9A6-402B-8D26-38AB11E6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6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6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6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6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6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7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2C"/>
  </w:style>
  <w:style w:type="paragraph" w:styleId="Footer">
    <w:name w:val="footer"/>
    <w:basedOn w:val="Normal"/>
    <w:link w:val="FooterChar"/>
    <w:uiPriority w:val="99"/>
    <w:unhideWhenUsed/>
    <w:rsid w:val="00387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C3397.61353E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4253</Characters>
  <Application>Microsoft Office Word</Application>
  <DocSecurity>0</DocSecurity>
  <Lines>212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Molly-Rose Scull</dc:creator>
  <cp:keywords/>
  <dc:description/>
  <cp:lastModifiedBy>Molly-Rose Scull</cp:lastModifiedBy>
  <cp:revision>12</cp:revision>
  <dcterms:created xsi:type="dcterms:W3CDTF">2025-10-20T10:36:00Z</dcterms:created>
  <dcterms:modified xsi:type="dcterms:W3CDTF">2025-11-02T06:34:00Z</dcterms:modified>
</cp:coreProperties>
</file>